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42" w:type="dxa"/>
          <w:left w:w="15" w:type="dxa"/>
          <w:bottom w:w="15" w:type="dxa"/>
          <w:right w:w="15" w:type="dxa"/>
        </w:tblCellMar>
        <w:tblLook w:val="04A0"/>
      </w:tblPr>
      <w:tblGrid>
        <w:gridCol w:w="9450"/>
      </w:tblGrid>
      <w:tr w:rsidR="00923531" w:rsidRPr="00923531">
        <w:trPr>
          <w:tblCellSpacing w:w="15" w:type="dxa"/>
        </w:trPr>
        <w:tc>
          <w:tcPr>
            <w:tcW w:w="0" w:type="auto"/>
            <w:vAlign w:val="center"/>
            <w:hideMark/>
          </w:tcPr>
          <w:tbl>
            <w:tblPr>
              <w:tblW w:w="5000" w:type="pct"/>
              <w:tblBorders>
                <w:top w:val="single" w:sz="2" w:space="0" w:color="DBDADA"/>
                <w:left w:val="single" w:sz="2" w:space="0" w:color="DBDADA"/>
                <w:bottom w:val="single" w:sz="2" w:space="0" w:color="DBDADA"/>
                <w:right w:val="single" w:sz="2" w:space="0" w:color="DBDADA"/>
              </w:tblBorders>
              <w:shd w:val="clear" w:color="auto" w:fill="FFFFFF"/>
              <w:tblCellMar>
                <w:top w:w="83" w:type="dxa"/>
                <w:left w:w="83" w:type="dxa"/>
                <w:bottom w:w="83" w:type="dxa"/>
                <w:right w:w="83" w:type="dxa"/>
              </w:tblCellMar>
              <w:tblLook w:val="04A0"/>
            </w:tblPr>
            <w:tblGrid>
              <w:gridCol w:w="9354"/>
            </w:tblGrid>
            <w:tr w:rsidR="00923531" w:rsidRPr="00923531">
              <w:tc>
                <w:tcPr>
                  <w:tcW w:w="0" w:type="auto"/>
                  <w:shd w:val="clear" w:color="auto" w:fill="FFFFFF"/>
                  <w:vAlign w:val="center"/>
                  <w:hideMark/>
                </w:tcPr>
                <w:p w:rsidR="00923531" w:rsidRPr="00923531" w:rsidRDefault="00923531" w:rsidP="00923531">
                  <w:pPr>
                    <w:spacing w:before="100" w:beforeAutospacing="1" w:after="100" w:afterAutospacing="1" w:line="240" w:lineRule="auto"/>
                    <w:rPr>
                      <w:rFonts w:ascii="Times New Roman" w:eastAsia="Times New Roman" w:hAnsi="Times New Roman" w:cs="Times New Roman"/>
                      <w:color w:val="000000"/>
                      <w:sz w:val="24"/>
                      <w:szCs w:val="24"/>
                    </w:rPr>
                  </w:pPr>
                  <w:r w:rsidRPr="00923531">
                    <w:rPr>
                      <w:rFonts w:ascii="Times New Roman" w:eastAsia="Times New Roman" w:hAnsi="Times New Roman" w:cs="Times New Roman"/>
                      <w:color w:val="000000"/>
                      <w:sz w:val="24"/>
                      <w:szCs w:val="24"/>
                    </w:rPr>
                    <w:t>Increase Lapham Day at Aztalan, May 20</w:t>
                  </w:r>
                </w:p>
                <w:p w:rsidR="00923531" w:rsidRPr="00923531" w:rsidRDefault="00923531" w:rsidP="00923531">
                  <w:pPr>
                    <w:spacing w:before="100" w:beforeAutospacing="1" w:after="100" w:afterAutospacing="1" w:line="240" w:lineRule="auto"/>
                    <w:rPr>
                      <w:rFonts w:ascii="Times New Roman" w:eastAsia="Times New Roman" w:hAnsi="Times New Roman" w:cs="Times New Roman"/>
                      <w:color w:val="000000"/>
                      <w:sz w:val="24"/>
                      <w:szCs w:val="24"/>
                    </w:rPr>
                  </w:pPr>
                  <w:r w:rsidRPr="00923531">
                    <w:rPr>
                      <w:rFonts w:ascii="Times New Roman" w:eastAsia="Times New Roman" w:hAnsi="Times New Roman" w:cs="Times New Roman"/>
                      <w:color w:val="000000"/>
                      <w:sz w:val="24"/>
                      <w:szCs w:val="24"/>
                    </w:rPr>
                    <w:t>One of the earliest investigators of the ancient earthworks at Aztalan was Wisconsin’s pioneer scientist and scholar Increase Lapham. While doing research for his book Antiquities of Wisconsin, Lapham spent nearly a week at Aztalan at the end of June and early July of 1850. Although his brief visit did not allow him to fully understand the complexities of Aztalan, he was able to carefully map the area and do some small excavations. Not until the nearly 70 years later, in 1919, would there be more detailed archeological work done at Aztalan, using Lapham’s records as a guide.</w:t>
                  </w:r>
                </w:p>
                <w:p w:rsidR="00923531" w:rsidRPr="00923531" w:rsidRDefault="00923531" w:rsidP="00923531">
                  <w:pPr>
                    <w:spacing w:before="100" w:beforeAutospacing="1" w:after="100" w:afterAutospacing="1" w:line="240" w:lineRule="auto"/>
                    <w:rPr>
                      <w:rFonts w:ascii="Times New Roman" w:eastAsia="Times New Roman" w:hAnsi="Times New Roman" w:cs="Times New Roman"/>
                      <w:color w:val="000000"/>
                      <w:sz w:val="24"/>
                      <w:szCs w:val="24"/>
                    </w:rPr>
                  </w:pPr>
                  <w:r w:rsidRPr="00923531">
                    <w:rPr>
                      <w:rFonts w:ascii="Times New Roman" w:eastAsia="Times New Roman" w:hAnsi="Times New Roman" w:cs="Times New Roman"/>
                      <w:color w:val="000000"/>
                      <w:sz w:val="24"/>
                      <w:szCs w:val="24"/>
                    </w:rPr>
                    <w:t>On Sunday, May 20, 2012, Increase Lapham (in the guise of Lapham scholar and portrayer Rob Nurre) will return to Aztalan to speak about his work there more than a century and a half ago. Along with the main site, he will be focusing on the line of conical mounds which extend southwards from the town of Aztalan along the northwest portion of the site. Lapham will also be talking about his additional geological and meteorological research that he conducted while at Aztalan. After Lapham’s talk, there will be tours of the Aztalan site.</w:t>
                  </w:r>
                </w:p>
                <w:p w:rsidR="00923531" w:rsidRPr="00923531" w:rsidRDefault="00923531" w:rsidP="00923531">
                  <w:pPr>
                    <w:spacing w:before="100" w:beforeAutospacing="1" w:after="100" w:afterAutospacing="1" w:line="240" w:lineRule="auto"/>
                    <w:rPr>
                      <w:rFonts w:ascii="Times New Roman" w:eastAsia="Times New Roman" w:hAnsi="Times New Roman" w:cs="Times New Roman"/>
                      <w:color w:val="000000"/>
                      <w:sz w:val="24"/>
                      <w:szCs w:val="24"/>
                    </w:rPr>
                  </w:pPr>
                  <w:r w:rsidRPr="00923531">
                    <w:rPr>
                      <w:rFonts w:ascii="Times New Roman" w:eastAsia="Times New Roman" w:hAnsi="Times New Roman" w:cs="Times New Roman"/>
                      <w:color w:val="000000"/>
                      <w:sz w:val="24"/>
                      <w:szCs w:val="24"/>
                    </w:rPr>
                    <w:t xml:space="preserve">The program will take place at 1:00 pm on Sunday, May 20, 2012 at the upper parking lot at Aztalan State Park. Beginning at 11:30 am, The Friends of Aztalan State Park will host a pot-luck cookout at the park shelter. The program is free and open to the public, although state park admission fees apply. This event is being sponsored by the Friends of Aztalan State Park in conjunction with the State Historical Society’s May Archaeology Month. For </w:t>
                  </w:r>
                  <w:proofErr w:type="spellStart"/>
                  <w:r w:rsidRPr="00923531">
                    <w:rPr>
                      <w:rFonts w:ascii="Times New Roman" w:eastAsia="Times New Roman" w:hAnsi="Times New Roman" w:cs="Times New Roman"/>
                      <w:color w:val="000000"/>
                      <w:sz w:val="24"/>
                      <w:szCs w:val="24"/>
                    </w:rPr>
                    <w:t>futher</w:t>
                  </w:r>
                  <w:proofErr w:type="spellEnd"/>
                  <w:r w:rsidRPr="00923531">
                    <w:rPr>
                      <w:rFonts w:ascii="Times New Roman" w:eastAsia="Times New Roman" w:hAnsi="Times New Roman" w:cs="Times New Roman"/>
                      <w:color w:val="000000"/>
                      <w:sz w:val="24"/>
                      <w:szCs w:val="24"/>
                    </w:rPr>
                    <w:t xml:space="preserve"> information, contact Kurt Sampson at </w:t>
                  </w:r>
                  <w:hyperlink r:id="rId4" w:tgtFrame="_blank" w:history="1">
                    <w:r w:rsidRPr="00923531">
                      <w:rPr>
                        <w:rFonts w:ascii="Times New Roman" w:eastAsia="Times New Roman" w:hAnsi="Times New Roman" w:cs="Times New Roman"/>
                        <w:color w:val="0088CE"/>
                        <w:sz w:val="24"/>
                        <w:szCs w:val="24"/>
                      </w:rPr>
                      <w:t>ksampson2@wi.rr.com</w:t>
                    </w:r>
                  </w:hyperlink>
                  <w:r w:rsidRPr="00923531">
                    <w:rPr>
                      <w:rFonts w:ascii="Times New Roman" w:eastAsia="Times New Roman" w:hAnsi="Times New Roman" w:cs="Times New Roman"/>
                      <w:color w:val="000000"/>
                      <w:sz w:val="24"/>
                      <w:szCs w:val="24"/>
                    </w:rPr>
                    <w:t xml:space="preserve"> For a full listing of upcoming events for the summer, see the Friends of Aztalan State Park website </w:t>
                  </w:r>
                  <w:hyperlink r:id="rId5" w:tgtFrame="_blank" w:history="1">
                    <w:r w:rsidRPr="00923531">
                      <w:rPr>
                        <w:rFonts w:ascii="Times New Roman" w:eastAsia="Times New Roman" w:hAnsi="Times New Roman" w:cs="Times New Roman"/>
                        <w:color w:val="0000FF"/>
                        <w:sz w:val="24"/>
                        <w:szCs w:val="24"/>
                      </w:rPr>
                      <w:t>www.aztalan.us</w:t>
                    </w:r>
                  </w:hyperlink>
                </w:p>
              </w:tc>
            </w:tr>
          </w:tbl>
          <w:p w:rsidR="00923531" w:rsidRPr="00923531" w:rsidRDefault="00923531" w:rsidP="00923531">
            <w:pPr>
              <w:spacing w:after="0" w:line="240" w:lineRule="auto"/>
              <w:rPr>
                <w:rFonts w:ascii="Arial" w:eastAsia="Times New Roman" w:hAnsi="Arial" w:cs="Arial"/>
                <w:color w:val="363942"/>
                <w:sz w:val="15"/>
                <w:szCs w:val="15"/>
              </w:rPr>
            </w:pPr>
          </w:p>
        </w:tc>
      </w:tr>
      <w:tr w:rsidR="00923531" w:rsidRPr="00923531">
        <w:trPr>
          <w:trHeight w:val="83"/>
          <w:tblCellSpacing w:w="15" w:type="dxa"/>
        </w:trPr>
        <w:tc>
          <w:tcPr>
            <w:tcW w:w="0" w:type="auto"/>
            <w:vAlign w:val="center"/>
            <w:hideMark/>
          </w:tcPr>
          <w:p w:rsidR="00923531" w:rsidRPr="00923531" w:rsidRDefault="00923531" w:rsidP="00923531">
            <w:pPr>
              <w:spacing w:after="0" w:line="240" w:lineRule="auto"/>
              <w:rPr>
                <w:rFonts w:ascii="Arial" w:eastAsia="Times New Roman" w:hAnsi="Arial" w:cs="Arial"/>
                <w:color w:val="363942"/>
                <w:sz w:val="8"/>
                <w:szCs w:val="15"/>
              </w:rPr>
            </w:pPr>
          </w:p>
        </w:tc>
      </w:tr>
      <w:tr w:rsidR="00923531" w:rsidRPr="00923531">
        <w:trPr>
          <w:tblCellSpacing w:w="15" w:type="dxa"/>
        </w:trPr>
        <w:tc>
          <w:tcPr>
            <w:tcW w:w="0" w:type="auto"/>
            <w:vAlign w:val="center"/>
            <w:hideMark/>
          </w:tcPr>
          <w:tbl>
            <w:tblPr>
              <w:tblW w:w="5000" w:type="pct"/>
              <w:tblCellMar>
                <w:top w:w="83" w:type="dxa"/>
                <w:left w:w="83" w:type="dxa"/>
                <w:bottom w:w="83" w:type="dxa"/>
                <w:right w:w="83" w:type="dxa"/>
              </w:tblCellMar>
              <w:tblLook w:val="04A0"/>
            </w:tblPr>
            <w:tblGrid>
              <w:gridCol w:w="9360"/>
            </w:tblGrid>
            <w:tr w:rsidR="00923531" w:rsidRPr="00923531">
              <w:tc>
                <w:tcPr>
                  <w:tcW w:w="0" w:type="auto"/>
                  <w:vAlign w:val="center"/>
                  <w:hideMark/>
                </w:tcPr>
                <w:p w:rsidR="00923531" w:rsidRPr="00923531" w:rsidRDefault="00923531" w:rsidP="00923531">
                  <w:pPr>
                    <w:spacing w:after="0" w:line="240" w:lineRule="auto"/>
                    <w:rPr>
                      <w:rFonts w:ascii="Arial" w:eastAsia="Times New Roman" w:hAnsi="Arial" w:cs="Arial"/>
                      <w:b/>
                      <w:bCs/>
                      <w:color w:val="182E70"/>
                      <w:sz w:val="9"/>
                      <w:szCs w:val="9"/>
                    </w:rPr>
                  </w:pPr>
                </w:p>
              </w:tc>
            </w:tr>
          </w:tbl>
          <w:p w:rsidR="00923531" w:rsidRPr="00923531" w:rsidRDefault="00923531" w:rsidP="00923531">
            <w:pPr>
              <w:spacing w:after="0" w:line="240" w:lineRule="auto"/>
              <w:rPr>
                <w:rFonts w:ascii="Arial" w:eastAsia="Times New Roman" w:hAnsi="Arial" w:cs="Arial"/>
                <w:color w:val="363942"/>
                <w:sz w:val="15"/>
                <w:szCs w:val="15"/>
              </w:rPr>
            </w:pPr>
          </w:p>
        </w:tc>
      </w:tr>
    </w:tbl>
    <w:p w:rsidR="005B4DF4" w:rsidRDefault="00923531">
      <w:r>
        <w:rPr>
          <w:noProof/>
        </w:rPr>
        <w:drawing>
          <wp:inline distT="0" distB="0" distL="0" distR="0">
            <wp:extent cx="3118485" cy="2494915"/>
            <wp:effectExtent l="19050" t="0" r="5715" b="0"/>
            <wp:docPr id="1" name="Picture 1" descr="C:\Users\Bob Frankenstein\Documents\Desktop\calendar2013-_dms2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 Frankenstein\Documents\Desktop\calendar2013-_dms2900.jpg"/>
                    <pic:cNvPicPr>
                      <a:picLocks noChangeAspect="1" noChangeArrowheads="1"/>
                    </pic:cNvPicPr>
                  </pic:nvPicPr>
                  <pic:blipFill>
                    <a:blip r:embed="rId6" cstate="print"/>
                    <a:srcRect/>
                    <a:stretch>
                      <a:fillRect/>
                    </a:stretch>
                  </pic:blipFill>
                  <pic:spPr bwMode="auto">
                    <a:xfrm>
                      <a:off x="0" y="0"/>
                      <a:ext cx="3118485" cy="2494915"/>
                    </a:xfrm>
                    <a:prstGeom prst="rect">
                      <a:avLst/>
                    </a:prstGeom>
                    <a:noFill/>
                    <a:ln w="9525">
                      <a:noFill/>
                      <a:miter lim="800000"/>
                      <a:headEnd/>
                      <a:tailEnd/>
                    </a:ln>
                  </pic:spPr>
                </pic:pic>
              </a:graphicData>
            </a:graphic>
          </wp:inline>
        </w:drawing>
      </w:r>
      <w:r>
        <w:rPr>
          <w:noProof/>
        </w:rPr>
        <w:drawing>
          <wp:inline distT="0" distB="0" distL="0" distR="0">
            <wp:extent cx="2486811" cy="1960939"/>
            <wp:effectExtent l="19050" t="0" r="8739" b="0"/>
            <wp:docPr id="2" name="Picture 2" descr="F:\248416_10150187754721406_342079691405_7317708_7565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48416_10150187754721406_342079691405_7317708_756502_n.jpg"/>
                    <pic:cNvPicPr>
                      <a:picLocks noChangeAspect="1" noChangeArrowheads="1"/>
                    </pic:cNvPicPr>
                  </pic:nvPicPr>
                  <pic:blipFill>
                    <a:blip r:embed="rId7" cstate="print"/>
                    <a:srcRect/>
                    <a:stretch>
                      <a:fillRect/>
                    </a:stretch>
                  </pic:blipFill>
                  <pic:spPr bwMode="auto">
                    <a:xfrm>
                      <a:off x="0" y="0"/>
                      <a:ext cx="2486811" cy="1960939"/>
                    </a:xfrm>
                    <a:prstGeom prst="rect">
                      <a:avLst/>
                    </a:prstGeom>
                    <a:noFill/>
                    <a:ln w="9525">
                      <a:noFill/>
                      <a:miter lim="800000"/>
                      <a:headEnd/>
                      <a:tailEnd/>
                    </a:ln>
                  </pic:spPr>
                </pic:pic>
              </a:graphicData>
            </a:graphic>
          </wp:inline>
        </w:drawing>
      </w:r>
    </w:p>
    <w:sectPr w:rsidR="005B4DF4" w:rsidSect="005B4D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savePreviewPicture/>
  <w:compat/>
  <w:rsids>
    <w:rsidRoot w:val="00923531"/>
    <w:rsid w:val="00500F6C"/>
    <w:rsid w:val="005B4DF4"/>
    <w:rsid w:val="00923531"/>
    <w:rsid w:val="00BF7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3531"/>
    <w:rPr>
      <w:strike w:val="0"/>
      <w:dstrike w:val="0"/>
      <w:color w:val="0088CE"/>
      <w:u w:val="none"/>
      <w:effect w:val="none"/>
    </w:rPr>
  </w:style>
  <w:style w:type="character" w:styleId="Emphasis">
    <w:name w:val="Emphasis"/>
    <w:basedOn w:val="DefaultParagraphFont"/>
    <w:uiPriority w:val="20"/>
    <w:qFormat/>
    <w:rsid w:val="00923531"/>
    <w:rPr>
      <w:b w:val="0"/>
      <w:bCs w:val="0"/>
      <w:i w:val="0"/>
      <w:iCs w:val="0"/>
    </w:rPr>
  </w:style>
  <w:style w:type="paragraph" w:styleId="NormalWeb">
    <w:name w:val="Normal (Web)"/>
    <w:basedOn w:val="Normal"/>
    <w:uiPriority w:val="99"/>
    <w:unhideWhenUsed/>
    <w:rsid w:val="009235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3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5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1042065">
      <w:bodyDiv w:val="1"/>
      <w:marLeft w:val="0"/>
      <w:marRight w:val="0"/>
      <w:marTop w:val="0"/>
      <w:marBottom w:val="0"/>
      <w:divBdr>
        <w:top w:val="none" w:sz="0" w:space="0" w:color="auto"/>
        <w:left w:val="none" w:sz="0" w:space="0" w:color="auto"/>
        <w:bottom w:val="none" w:sz="0" w:space="0" w:color="auto"/>
        <w:right w:val="none" w:sz="0" w:space="0" w:color="auto"/>
      </w:divBdr>
      <w:divsChild>
        <w:div w:id="901020647">
          <w:marLeft w:val="0"/>
          <w:marRight w:val="0"/>
          <w:marTop w:val="0"/>
          <w:marBottom w:val="0"/>
          <w:divBdr>
            <w:top w:val="none" w:sz="0" w:space="0" w:color="auto"/>
            <w:left w:val="none" w:sz="0" w:space="0" w:color="auto"/>
            <w:bottom w:val="none" w:sz="0" w:space="0" w:color="auto"/>
            <w:right w:val="none" w:sz="0" w:space="0" w:color="auto"/>
          </w:divBdr>
          <w:divsChild>
            <w:div w:id="1596790290">
              <w:marLeft w:val="0"/>
              <w:marRight w:val="0"/>
              <w:marTop w:val="0"/>
              <w:marBottom w:val="0"/>
              <w:divBdr>
                <w:top w:val="none" w:sz="0" w:space="0" w:color="auto"/>
                <w:left w:val="none" w:sz="0" w:space="0" w:color="auto"/>
                <w:bottom w:val="none" w:sz="0" w:space="0" w:color="auto"/>
                <w:right w:val="none" w:sz="0" w:space="0" w:color="auto"/>
              </w:divBdr>
              <w:divsChild>
                <w:div w:id="297496429">
                  <w:marLeft w:val="0"/>
                  <w:marRight w:val="0"/>
                  <w:marTop w:val="0"/>
                  <w:marBottom w:val="0"/>
                  <w:divBdr>
                    <w:top w:val="none" w:sz="0" w:space="0" w:color="auto"/>
                    <w:left w:val="none" w:sz="0" w:space="0" w:color="auto"/>
                    <w:bottom w:val="none" w:sz="0" w:space="0" w:color="auto"/>
                    <w:right w:val="none" w:sz="0" w:space="0" w:color="auto"/>
                  </w:divBdr>
                  <w:divsChild>
                    <w:div w:id="1467354617">
                      <w:marLeft w:val="0"/>
                      <w:marRight w:val="0"/>
                      <w:marTop w:val="125"/>
                      <w:marBottom w:val="0"/>
                      <w:divBdr>
                        <w:top w:val="none" w:sz="0" w:space="0" w:color="auto"/>
                        <w:left w:val="none" w:sz="0" w:space="0" w:color="auto"/>
                        <w:bottom w:val="none" w:sz="0" w:space="0" w:color="auto"/>
                        <w:right w:val="none" w:sz="0" w:space="0" w:color="auto"/>
                      </w:divBdr>
                      <w:divsChild>
                        <w:div w:id="152381712">
                          <w:marLeft w:val="0"/>
                          <w:marRight w:val="0"/>
                          <w:marTop w:val="0"/>
                          <w:marBottom w:val="0"/>
                          <w:divBdr>
                            <w:top w:val="none" w:sz="0" w:space="0" w:color="auto"/>
                            <w:left w:val="none" w:sz="0" w:space="0" w:color="auto"/>
                            <w:bottom w:val="none" w:sz="0" w:space="0" w:color="auto"/>
                            <w:right w:val="none" w:sz="0" w:space="0" w:color="auto"/>
                          </w:divBdr>
                          <w:divsChild>
                            <w:div w:id="436407631">
                              <w:marLeft w:val="0"/>
                              <w:marRight w:val="0"/>
                              <w:marTop w:val="0"/>
                              <w:marBottom w:val="0"/>
                              <w:divBdr>
                                <w:top w:val="none" w:sz="0" w:space="0" w:color="auto"/>
                                <w:left w:val="none" w:sz="0" w:space="0" w:color="auto"/>
                                <w:bottom w:val="none" w:sz="0" w:space="0" w:color="auto"/>
                                <w:right w:val="none" w:sz="0" w:space="0" w:color="auto"/>
                              </w:divBdr>
                              <w:divsChild>
                                <w:div w:id="1930576564">
                                  <w:marLeft w:val="0"/>
                                  <w:marRight w:val="0"/>
                                  <w:marTop w:val="0"/>
                                  <w:marBottom w:val="0"/>
                                  <w:divBdr>
                                    <w:top w:val="none" w:sz="0" w:space="0" w:color="auto"/>
                                    <w:left w:val="none" w:sz="0" w:space="0" w:color="auto"/>
                                    <w:bottom w:val="none" w:sz="0" w:space="0" w:color="auto"/>
                                    <w:right w:val="none" w:sz="0" w:space="0" w:color="auto"/>
                                  </w:divBdr>
                                  <w:divsChild>
                                    <w:div w:id="190269711">
                                      <w:marLeft w:val="0"/>
                                      <w:marRight w:val="0"/>
                                      <w:marTop w:val="0"/>
                                      <w:marBottom w:val="0"/>
                                      <w:divBdr>
                                        <w:top w:val="none" w:sz="0" w:space="0" w:color="auto"/>
                                        <w:left w:val="none" w:sz="0" w:space="0" w:color="auto"/>
                                        <w:bottom w:val="none" w:sz="0" w:space="0" w:color="auto"/>
                                        <w:right w:val="none" w:sz="0" w:space="0" w:color="auto"/>
                                      </w:divBdr>
                                      <w:divsChild>
                                        <w:div w:id="143925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ebmail.nyc.rr.com/do/redirect?url=http%253A%252F%252Fwww.aztalan.us%252F" TargetMode="External"/><Relationship Id="rId4" Type="http://schemas.openxmlformats.org/officeDocument/2006/relationships/hyperlink" Target="http://webmail.nyc.rr.com/do/mail/message/mailto?to=ksampson2%40wi.rr.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Company>Hewlett-Packard Company</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Dodge County Historical Society</dc:creator>
  <cp:lastModifiedBy>Dodge County Historical Society</cp:lastModifiedBy>
  <cp:revision>2</cp:revision>
  <dcterms:created xsi:type="dcterms:W3CDTF">2012-05-09T17:10:00Z</dcterms:created>
  <dcterms:modified xsi:type="dcterms:W3CDTF">2012-05-09T17:10:00Z</dcterms:modified>
</cp:coreProperties>
</file>